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8FE4AF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085D49D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3BA67438">
      <w:pPr>
        <w:jc w:val="center"/>
        <w:rPr>
          <w:rFonts w:ascii="GHEA Grapalat" w:hAnsi="GHEA Grapalat"/>
          <w:sz w:val="18"/>
          <w:lang w:val="hy-AM"/>
        </w:rPr>
      </w:pPr>
    </w:p>
    <w:p w14:paraId="1EA2EE21">
      <w:pPr>
        <w:jc w:val="center"/>
        <w:rPr>
          <w:rFonts w:ascii="GHEA Grapalat" w:hAnsi="GHEA Grapalat"/>
          <w:sz w:val="20"/>
          <w:lang w:val="hy-AM"/>
        </w:rPr>
      </w:pPr>
    </w:p>
    <w:p w14:paraId="6B962FC4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3C9C804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 xml:space="preserve">                                                                </w:t>
      </w:r>
      <w:r>
        <w:rPr>
          <w:rFonts w:ascii="GHEA Grapalat" w:hAnsi="GHEA Grapalat"/>
          <w:b/>
          <w:lang w:val="af-ZA"/>
        </w:rPr>
        <w:t xml:space="preserve">ՏԵԽՆԻԿԱԿԱՆ ԲՆՈՒԹԱԳԻՐ </w:t>
      </w:r>
    </w:p>
    <w:tbl>
      <w:tblPr>
        <w:tblStyle w:val="3"/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410"/>
      </w:tblGrid>
      <w:tr w14:paraId="145E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B35E3">
            <w:pPr>
              <w:tabs>
                <w:tab w:val="left" w:pos="2730"/>
              </w:tabs>
              <w:jc w:val="center"/>
              <w:rPr>
                <w:rFonts w:ascii="GHEA Grapalat" w:hAnsi="GHEA Grapalat" w:eastAsia="Calibri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</w:rPr>
              <w:t xml:space="preserve">Չափաբաժին </w:t>
            </w:r>
          </w:p>
          <w:p w14:paraId="6C1F5001">
            <w:pPr>
              <w:tabs>
                <w:tab w:val="left" w:pos="2730"/>
              </w:tabs>
              <w:jc w:val="center"/>
              <w:rPr>
                <w:rFonts w:ascii="GHEA Grapalat" w:hAnsi="GHEA Grapalat" w:eastAsia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8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D3106">
            <w:pPr>
              <w:jc w:val="center"/>
              <w:rPr>
                <w:rFonts w:hint="default"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գազաֆիկացման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աշխատանքների</w:t>
            </w:r>
            <w:r>
              <w:rPr>
                <w:rFonts w:hint="default" w:ascii="GHEA Grapalat" w:hAnsi="GHEA Grapalat"/>
                <w:b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/>
                <w:b/>
                <w:color w:val="2C2D2E"/>
                <w:sz w:val="20"/>
                <w:szCs w:val="20"/>
                <w:shd w:val="clear" w:color="auto" w:fill="FFFFFF"/>
              </w:rPr>
              <w:t>նախագծանախահաշվային փաստաթղթերի կազմման ծառայություններ</w:t>
            </w:r>
            <w:r>
              <w:rPr>
                <w:rFonts w:hint="default" w:ascii="GHEA Grapalat" w:hAnsi="GHEA Grapalat"/>
                <w:b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և փորձաքննության տրամադրում</w:t>
            </w:r>
          </w:p>
        </w:tc>
      </w:tr>
      <w:tr w14:paraId="41897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4B5B0">
            <w:pPr>
              <w:tabs>
                <w:tab w:val="left" w:pos="2730"/>
              </w:tabs>
              <w:jc w:val="center"/>
              <w:rPr>
                <w:rFonts w:ascii="GHEA Grapalat" w:hAnsi="GHEA Grapalat" w:eastAsia="Calibri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i/>
                <w:color w:val="000000"/>
                <w:sz w:val="18"/>
                <w:szCs w:val="18"/>
                <w:lang w:val="hy-AM"/>
              </w:rPr>
              <w:t>Ներկայացվող հիմնական պահանջներ, տեխնիկական առաջադրանք</w:t>
            </w:r>
          </w:p>
        </w:tc>
        <w:tc>
          <w:tcPr>
            <w:tcW w:w="8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ACF52">
            <w:pPr>
              <w:ind w:right="25"/>
              <w:jc w:val="both"/>
              <w:rPr>
                <w:rFonts w:ascii="GHEA Grapalat" w:hAnsi="GHEA Grapalat" w:eastAsia="Calibri"/>
                <w:b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iCs/>
                <w:sz w:val="18"/>
                <w:szCs w:val="18"/>
                <w:lang w:val="hy-AM"/>
              </w:rPr>
              <w:t xml:space="preserve">Նախատեսվում է </w:t>
            </w:r>
          </w:p>
          <w:p w14:paraId="6107175B">
            <w:pPr>
              <w:ind w:right="25"/>
              <w:jc w:val="both"/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>Գազաֆիկացնել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en-US"/>
              </w:rPr>
              <w:t>`</w:t>
            </w: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 xml:space="preserve"> </w:t>
            </w:r>
          </w:p>
          <w:p w14:paraId="7323E59E">
            <w:pPr>
              <w:numPr>
                <w:ilvl w:val="0"/>
                <w:numId w:val="1"/>
              </w:numPr>
              <w:ind w:right="25"/>
              <w:jc w:val="both"/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>Ալավերդի համայնքի Ճոճկան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 xml:space="preserve"> բնակավայրի 5-րդ փողոցի 2 հասցեում գտնվող </w:t>
            </w: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>վարչական շենքը,</w:t>
            </w:r>
          </w:p>
          <w:p w14:paraId="5F66ACB2">
            <w:pPr>
              <w:numPr>
                <w:ilvl w:val="0"/>
                <w:numId w:val="1"/>
              </w:numPr>
              <w:ind w:right="25"/>
              <w:jc w:val="both"/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 xml:space="preserve"> Ալավերդի համայնքի Ճոճկան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 xml:space="preserve"> բնակավայրի 14-րդ փողոցի 4 հասցեում գտնվող </w:t>
            </w: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>մշակույթի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 xml:space="preserve"> տան</w:t>
            </w: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 xml:space="preserve"> շենքը, </w:t>
            </w:r>
          </w:p>
          <w:p w14:paraId="43C040F9">
            <w:pPr>
              <w:numPr>
                <w:ilvl w:val="0"/>
                <w:numId w:val="1"/>
              </w:numPr>
              <w:ind w:right="25"/>
              <w:jc w:val="both"/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/>
                <w:iCs/>
                <w:sz w:val="20"/>
                <w:szCs w:val="20"/>
                <w:lang w:val="hy-AM"/>
              </w:rPr>
              <w:t>Ալավերդի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 xml:space="preserve"> համայնքի Աքորի բնակավայրի 5-րդ փողոցի 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en-US"/>
              </w:rPr>
              <w:t>6-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>րդ փակուղի</w:t>
            </w:r>
          </w:p>
          <w:p w14:paraId="707910BE">
            <w:pPr>
              <w:numPr>
                <w:ilvl w:val="0"/>
                <w:numId w:val="0"/>
              </w:numPr>
              <w:ind w:right="25" w:rightChars="0"/>
              <w:jc w:val="both"/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>Գազամատակարարման նախագծանախահաշվային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>փաստաթղթերը կազմել ըստ «ԳազպրոմԱրմենիա» ՓԲ ընկերության Լոռու ԳԳ մասնաճյուղի շահագործատեխնիկական բաժնի կողմից ներկայացված տեխնիկական պայմանների։</w:t>
            </w:r>
          </w:p>
          <w:p w14:paraId="2AAE1F57">
            <w:pPr>
              <w:numPr>
                <w:ilvl w:val="0"/>
                <w:numId w:val="0"/>
              </w:numPr>
              <w:ind w:right="25" w:rightChars="0"/>
              <w:jc w:val="both"/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 w:eastAsia="Calibri"/>
                <w:b/>
                <w:iCs/>
                <w:sz w:val="20"/>
                <w:szCs w:val="20"/>
                <w:lang w:val="hy-AM"/>
              </w:rPr>
              <w:t>Նախագծանախահաշվային փաթեթը ներկայացնել յուրաքանչյուրի համար առանձին</w:t>
            </w:r>
          </w:p>
        </w:tc>
      </w:tr>
      <w:tr w14:paraId="0E20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EE3E2">
            <w:pPr>
              <w:tabs>
                <w:tab w:val="left" w:pos="2730"/>
              </w:tabs>
              <w:jc w:val="center"/>
              <w:rPr>
                <w:rFonts w:ascii="GHEA Grapalat" w:hAnsi="GHEA Grapalat" w:eastAsia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</w:rPr>
              <w:t>Ընդհանուր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</w:rPr>
              <w:t>դրույթներ</w:t>
            </w:r>
          </w:p>
        </w:tc>
        <w:tc>
          <w:tcPr>
            <w:tcW w:w="8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92A26">
            <w:pPr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Աշխատանքային նախագիծը կազմվում է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ru-RU"/>
              </w:rPr>
              <w:t>՝</w:t>
            </w:r>
          </w:p>
          <w:p w14:paraId="1442AD81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ՀՀ կառավարության 19.03.2015թ. թիվ 596-Ն որոշմամբ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«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ՀՀ կառուցապատման նպատակով թույլտվությունների և այլ փաստաթղթերի տրամադրման կարգը հաստատելու և  ՀՀ կառավարության մի շարք որոշումներ ուժը կորցրած ճանաչելու մասին» պահանջներին համապատասխան, ճարտարապետահատակագծային և նախագծման առաջադրանքներին համապատասխան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</w:rPr>
              <w:t>:</w:t>
            </w:r>
          </w:p>
          <w:p w14:paraId="5D06DC18">
            <w:pPr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Նախահաշիվը կազմել ՀՀ կառավարության 23.06.2011թ.-ի թիվ 879-Ն որոշմամբ սահմանված կարգի համապատասխան:</w:t>
            </w:r>
          </w:p>
          <w:p w14:paraId="6B366154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ՀՀ կառավարության 2017թ. մայիսի 4-ի թիվ 526-Ն որոշման համաձայն նախագծողը՝</w:t>
            </w:r>
          </w:p>
          <w:p w14:paraId="2040C0D7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ա/նախագծման համար հիմք հանդիսացած նյութերի տեխնիկական բնութագրերը կազմում է </w:t>
            </w:r>
            <w:r>
              <w:rPr>
                <w:rFonts w:ascii="GHEA Grapalat" w:hAnsi="GHEA Grapalat" w:eastAsia="Calibri"/>
                <w:sz w:val="18"/>
                <w:szCs w:val="18"/>
                <w:lang w:val="hy-AM"/>
              </w:rPr>
              <w:t xml:space="preserve">&lt;&lt;Գնումների մասին&gt;&gt; ՀՀ օրենքի 13-րդ հոդվածի պահանջներին 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համապատասխան,</w:t>
            </w:r>
          </w:p>
          <w:p w14:paraId="6F32AC2E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բ/ ներկայացնում է կապալի օբյեկտի, դրա առանձին մասերի /կոնստրուկցիաներ և այլն/ և օգտագործված նյութերի երաշխիքային ժամկետներին ներկայացվող նվազագույն պահանջները,</w:t>
            </w:r>
          </w:p>
          <w:p w14:paraId="060443C5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գ/ ներկայացնում է շինարարական ծրագրերի կատարման համար անհրաժեշտ լիցենզիային, տեխնիկական միջոցներին և աշխատանքային ռեսուրսներին ներկայացվող պահանջները,</w:t>
            </w:r>
          </w:p>
          <w:p w14:paraId="6CA89523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դ/ նախագծնախահաշվային փաստաթղթերը ներկայացվում է պատվիրատուին հայերեն թղթային՝ 4 օրինակից և անհրաժեշտության դեպում նաև ռուսերեն թղթային՝ 1 օրինակից, ինչպես նաև էլեկտրոնային տարբերակներով, </w:t>
            </w:r>
          </w:p>
          <w:p w14:paraId="1A6E3EE0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ե/ ներկայացնում է  ըստ առանձին աշխատանքների կատարման օրացուցային գրաֆիկը,</w:t>
            </w:r>
          </w:p>
          <w:p w14:paraId="126EE53B">
            <w:pPr>
              <w:ind w:left="43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ինչպես նաև, ներկայացնում է աշխատանքների կատարման ծավալաթերթ՝ էլեկտրոնային տարբերակով,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50%):</w:t>
            </w:r>
          </w:p>
          <w:p w14:paraId="435CB158">
            <w:pPr>
              <w:ind w:left="43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sz w:val="18"/>
                <w:szCs w:val="18"/>
                <w:lang w:val="hy-AM"/>
              </w:rPr>
              <w:t xml:space="preserve">Ծավալաթերթը ներկայացվում է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հայերեն և ռուսերեն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նաև Excel ֆորմատով </w:t>
            </w:r>
            <w:r>
              <w:rPr>
                <w:rFonts w:ascii="GHEA Grapalat" w:hAnsi="GHEA Grapalat" w:eastAsia="Calibri"/>
                <w:sz w:val="18"/>
                <w:szCs w:val="18"/>
                <w:lang w:val="hy-AM"/>
              </w:rPr>
              <w:t>տոկոսներով:</w:t>
            </w:r>
          </w:p>
          <w:p w14:paraId="560C5D8D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Նախագծանախահաշվային փաստաթղթերը կազմված են 2 մասից՝ </w:t>
            </w:r>
          </w:p>
          <w:p w14:paraId="336DC93C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color w:val="000000"/>
                <w:sz w:val="18"/>
                <w:szCs w:val="18"/>
                <w:lang w:val="hy-AM"/>
              </w:rPr>
              <w:t>-Ճարտարապետաշինարարական մաս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. Ներառում է</w:t>
            </w:r>
          </w:p>
          <w:p w14:paraId="15CDC290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Ելակետային տվյալներ և նախագծային փաստաթղթեր //հատակագիծ /անշարժ գույքի սեփականության իրավունքի  գրանցման վկայականի համապատասխան մասի լուսապատճեն/, տեխնիկական բնութագիր, ճարտարապետահատակագծային առաջադրանք, լիցենզիա /քաղաքաշինական փաստաթղթերի մշակման  բնագավառ՝ բնակելի, հասարակական և արտադրական ոլորտ/, տեխնիկական վիճակի հետազննության եզրակացություն /ըստ անհրաժեշտության/, ընդհանուր բացատրագիր, հատակագծեր, շինարարության և քանդման  կազմակերպման նախագծեր, հիմնական շինարարական նյութերի, կոնստրուկցիաների ամփոփագրեր, մասնագրեր, աշխատանքների կատարման ուղեցույց, աշխատանքների կատարման ժամանակացույց, աշխատանքային գծագրեր, աշխատանքային ծավալներ/, բացատրագրեր, </w:t>
            </w:r>
          </w:p>
          <w:p w14:paraId="11ADD7E5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 w:eastAsia="Calibri"/>
                <w:b/>
                <w:color w:val="000000"/>
                <w:sz w:val="18"/>
                <w:szCs w:val="18"/>
                <w:lang w:val="hy-AM"/>
              </w:rPr>
              <w:t>Նախահաշվային մաս՝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ամփոփ, օբյեկտային, լոկալ նախահաշիվներ </w:t>
            </w:r>
          </w:p>
          <w:p w14:paraId="55402DE7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Շինարարական աշխատանքների ընթացքը համապատասխանեցվում է  պատվիրատուի հետ: Աշխատանքային նախագծի ընդհանուր փաթեթը ներկայացնել հայերեն լեզվով:</w:t>
            </w:r>
          </w:p>
          <w:p w14:paraId="1A2DDC39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Նախագծանախահաշվային փաստաթղթերը պետք է պատրաստված լինեն համակարգչային համապատասխան ծրագրերի կիրառմամբ, ընթեռնելի:</w:t>
            </w:r>
          </w:p>
          <w:p w14:paraId="6C66405C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sz w:val="18"/>
                <w:szCs w:val="18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color w:val="000000"/>
                <w:sz w:val="18"/>
                <w:szCs w:val="18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44ABCE90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color w:val="000000"/>
                <w:sz w:val="18"/>
                <w:szCs w:val="18"/>
                <w:lang w:val="hy-AM"/>
              </w:rPr>
              <w:t xml:space="preserve">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հետո: </w:t>
            </w:r>
          </w:p>
        </w:tc>
      </w:tr>
      <w:tr w14:paraId="5B778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B8114">
            <w:pPr>
              <w:jc w:val="center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hy-AM"/>
              </w:rPr>
              <w:t>Հիմնական պարտականություններ</w:t>
            </w:r>
          </w:p>
          <w:p w14:paraId="16B3833B">
            <w:pPr>
              <w:tabs>
                <w:tab w:val="left" w:pos="2730"/>
              </w:tabs>
              <w:jc w:val="center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</w:rPr>
              <w:t>և պահանջներ</w:t>
            </w:r>
          </w:p>
        </w:tc>
        <w:tc>
          <w:tcPr>
            <w:tcW w:w="8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334A">
            <w:pPr>
              <w:jc w:val="both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hy-AM"/>
              </w:rPr>
              <w:t>Հիմնական պարտականություններ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՝</w:t>
            </w:r>
          </w:p>
          <w:p w14:paraId="3EC29B50">
            <w:pPr>
              <w:ind w:left="360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1. հետազննման աշխատանքների /անհրաժեշտության դեպքում նաև ինժեներաերկրաբանական/ իրականացում և եզրակացության տրամադրում,</w:t>
            </w:r>
          </w:p>
          <w:p w14:paraId="4ACD2899">
            <w:pPr>
              <w:ind w:left="360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2. նախագծանախահաշվային փաստաթղթերի կազմում,</w:t>
            </w:r>
          </w:p>
          <w:p w14:paraId="3B9B5BEF">
            <w:pPr>
              <w:jc w:val="both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hy-AM"/>
              </w:rPr>
              <w:t>Հետազննման վերաբերյալ պահանջներ՝</w:t>
            </w:r>
          </w:p>
          <w:p w14:paraId="5222BE4F">
            <w:pPr>
              <w:pStyle w:val="6"/>
              <w:numPr>
                <w:ilvl w:val="0"/>
                <w:numId w:val="2"/>
              </w:numPr>
              <w:tabs>
                <w:tab w:val="left" w:pos="473"/>
              </w:tabs>
              <w:ind w:left="473"/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Ներկայացնել մանրամասն կատարված ուսումնասիրությունների արդյունքում հիմնավորված աշխատանքային ծավալներ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  <w:p w14:paraId="19EBB86A">
            <w:pPr>
              <w:pStyle w:val="6"/>
              <w:numPr>
                <w:ilvl w:val="0"/>
                <w:numId w:val="2"/>
              </w:numPr>
              <w:tabs>
                <w:tab w:val="left" w:pos="473"/>
              </w:tabs>
              <w:ind w:left="473"/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Կատարել տեղանքի հետազոտություն և տալ գեոդեզիական արդյունավետ լուծումներ:</w:t>
            </w:r>
          </w:p>
          <w:p w14:paraId="030E7A93">
            <w:pPr>
              <w:pStyle w:val="6"/>
              <w:numPr>
                <w:ilvl w:val="0"/>
                <w:numId w:val="2"/>
              </w:numPr>
              <w:tabs>
                <w:tab w:val="left" w:pos="473"/>
              </w:tabs>
              <w:ind w:left="473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Ներկայացնել Էսքիզային նախագիծ տարածական գունավոր պատկերներով, ճարտարապետական փոքր ձևերի հատուկ ներկայացմամբ:</w:t>
            </w:r>
          </w:p>
          <w:p w14:paraId="5D81187E">
            <w:pPr>
              <w:pStyle w:val="6"/>
              <w:numPr>
                <w:ilvl w:val="0"/>
                <w:numId w:val="2"/>
              </w:numPr>
              <w:tabs>
                <w:tab w:val="left" w:pos="473"/>
              </w:tabs>
              <w:ind w:left="473"/>
              <w:contextualSpacing/>
              <w:jc w:val="both"/>
              <w:rPr>
                <w:rFonts w:ascii="GHEA Grapalat" w:hAnsi="GHEA Grapalat" w:eastAsia="Calibri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հետազննումն իրականացնել նախագծային փաստաթղթերը մշակելու անհրաժեշտ ծավալով,</w:t>
            </w:r>
          </w:p>
          <w:p w14:paraId="3C95715E">
            <w:pPr>
              <w:pStyle w:val="6"/>
              <w:numPr>
                <w:ilvl w:val="0"/>
                <w:numId w:val="2"/>
              </w:numPr>
              <w:tabs>
                <w:tab w:val="left" w:pos="473"/>
              </w:tabs>
              <w:ind w:left="473"/>
              <w:contextualSpacing/>
              <w:jc w:val="both"/>
              <w:rPr>
                <w:rFonts w:ascii="GHEA Grapalat" w:hAnsi="GHEA Grapalat" w:eastAsia="Calibri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հետազննման ընթացքում իրականացնել օբյեկտների առկա վիճակի ֆոտոնկարահանում:</w:t>
            </w:r>
          </w:p>
          <w:p w14:paraId="4C2AFA97">
            <w:pPr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hy-AM"/>
              </w:rPr>
              <w:t>Նախագծի նկատմամբ պահանջներ</w:t>
            </w:r>
          </w:p>
          <w:p w14:paraId="27DC4BB9">
            <w:pPr>
              <w:numPr>
                <w:ilvl w:val="0"/>
                <w:numId w:val="3"/>
              </w:numPr>
              <w:tabs>
                <w:tab w:val="left" w:pos="830"/>
                <w:tab w:val="clear" w:pos="360"/>
              </w:tabs>
              <w:ind w:left="830" w:hanging="426"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Նախագծային փաստաթղթերը պետք է համապատասխանեն ՀՀ պետական ստանդարտներին, հրահանգներին, 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</w:rPr>
              <w:t>քաղաքաշինական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նորմերին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ru-RU"/>
              </w:rPr>
              <w:t>:</w:t>
            </w:r>
          </w:p>
          <w:p w14:paraId="4951BC04">
            <w:pPr>
              <w:pStyle w:val="6"/>
              <w:numPr>
                <w:ilvl w:val="0"/>
                <w:numId w:val="3"/>
              </w:numPr>
              <w:tabs>
                <w:tab w:val="left" w:pos="473"/>
                <w:tab w:val="left" w:pos="830"/>
                <w:tab w:val="left" w:pos="1908"/>
              </w:tabs>
              <w:ind w:left="830" w:hanging="426"/>
              <w:contextualSpacing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Գծագրային մասը ներկայացնել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A-3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ֆորմատով՝ </w:t>
            </w:r>
          </w:p>
          <w:p w14:paraId="5FA6CE0D">
            <w:pPr>
              <w:numPr>
                <w:ilvl w:val="0"/>
                <w:numId w:val="3"/>
              </w:numPr>
              <w:tabs>
                <w:tab w:val="left" w:pos="830"/>
              </w:tabs>
              <w:ind w:left="830" w:hanging="426"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Նախագծի մեջ պետք է նախատեսել առնվազն հետևյալ աշխատանքները՝ </w:t>
            </w:r>
          </w:p>
          <w:p w14:paraId="1D3BB871">
            <w:pPr>
              <w:jc w:val="both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Sylfaen"/>
                <w:b/>
                <w:i/>
                <w:color w:val="000000"/>
                <w:sz w:val="18"/>
                <w:szCs w:val="18"/>
                <w:lang w:val="hy-AM"/>
              </w:rPr>
              <w:t>Համաձայնեցումներ՝</w:t>
            </w:r>
          </w:p>
          <w:p w14:paraId="171F9A39">
            <w:pPr>
              <w:numPr>
                <w:ilvl w:val="0"/>
                <w:numId w:val="3"/>
              </w:numPr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Sylfaen"/>
                <w:color w:val="000000"/>
                <w:sz w:val="18"/>
                <w:szCs w:val="18"/>
                <w:lang w:val="hy-AM"/>
              </w:rPr>
              <w:t>քաղաքաշինական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պարզ </w:t>
            </w:r>
            <w:r>
              <w:rPr>
                <w:rFonts w:ascii="GHEA Grapalat" w:hAnsi="GHEA Grapalat" w:eastAsia="Calibri" w:cs="Sylfaen"/>
                <w:color w:val="000000"/>
                <w:sz w:val="18"/>
                <w:szCs w:val="18"/>
                <w:lang w:val="hy-AM"/>
              </w:rPr>
              <w:t>փորձաքննության եզրակացությունը պետք է լինի դրական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,</w:t>
            </w:r>
          </w:p>
          <w:p w14:paraId="326C4803">
            <w:pPr>
              <w:numPr>
                <w:ilvl w:val="0"/>
                <w:numId w:val="3"/>
              </w:numPr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Sylfaen"/>
                <w:color w:val="000000"/>
                <w:sz w:val="18"/>
                <w:szCs w:val="18"/>
                <w:lang w:val="hy-AM"/>
              </w:rPr>
              <w:t>նախագծային լուծումները համապատասխանացնել գազազֆիկացման տեխնիկական պայմաններին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,</w:t>
            </w:r>
          </w:p>
          <w:p w14:paraId="7F13639E">
            <w:pPr>
              <w:numPr>
                <w:ilvl w:val="0"/>
                <w:numId w:val="3"/>
              </w:numPr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Sylfaen"/>
                <w:color w:val="000000"/>
                <w:sz w:val="18"/>
                <w:szCs w:val="18"/>
                <w:lang w:val="hy-AM"/>
              </w:rPr>
              <w:t>նախագծային լուծումները համաձայնեցնել պատվիրատուի հետ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,</w:t>
            </w:r>
          </w:p>
          <w:p w14:paraId="25E19E02">
            <w:pPr>
              <w:numPr>
                <w:ilvl w:val="0"/>
                <w:numId w:val="3"/>
              </w:numPr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Sylfaen"/>
                <w:color w:val="000000"/>
                <w:sz w:val="18"/>
                <w:szCs w:val="18"/>
                <w:lang w:val="hy-AM"/>
              </w:rPr>
              <w:t>պատվիրատուի հետ համաձայնեցնել  շինարարական աղբի տեղերը</w:t>
            </w:r>
          </w:p>
          <w:p w14:paraId="62F245AF">
            <w:pPr>
              <w:numPr>
                <w:ilvl w:val="0"/>
                <w:numId w:val="3"/>
              </w:numPr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hint="default" w:ascii="GHEA Grapalat" w:hAnsi="GHEA Grapalat" w:eastAsia="Calibri" w:cs="Sylfaen"/>
                <w:color w:val="000000"/>
                <w:sz w:val="18"/>
                <w:szCs w:val="18"/>
                <w:lang w:val="hy-AM"/>
              </w:rPr>
              <w:t>Իրականացվող</w:t>
            </w:r>
            <w:bookmarkStart w:id="0" w:name="_GoBack"/>
            <w:bookmarkEnd w:id="0"/>
            <w:r>
              <w:rPr>
                <w:rFonts w:hint="default" w:ascii="GHEA Grapalat" w:hAnsi="GHEA Grapalat" w:eastAsia="Calibri" w:cs="Sylfaen"/>
                <w:color w:val="000000"/>
                <w:sz w:val="18"/>
                <w:szCs w:val="18"/>
                <w:lang w:val="hy-AM"/>
              </w:rPr>
              <w:t xml:space="preserve"> շին-հավաքակցման աշխատանքներ՝ ԳԳ մասնաճյուղի կողմից համաձայնեցված ու վերահսկողություն իրականացնող իրավասու մարմիններում գրանցված նախագծով</w:t>
            </w:r>
          </w:p>
        </w:tc>
      </w:tr>
      <w:tr w14:paraId="4021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F549">
            <w:pPr>
              <w:jc w:val="center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ru-RU"/>
              </w:rPr>
              <w:t>Նորմատիվային</w:t>
            </w:r>
          </w:p>
          <w:p w14:paraId="0B269AA9">
            <w:pPr>
              <w:jc w:val="center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ru-RU"/>
              </w:rPr>
              <w:t>պահանջներ</w:t>
            </w:r>
          </w:p>
        </w:tc>
        <w:tc>
          <w:tcPr>
            <w:tcW w:w="8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7EE27">
            <w:pPr>
              <w:numPr>
                <w:ilvl w:val="0"/>
                <w:numId w:val="4"/>
              </w:numPr>
              <w:tabs>
                <w:tab w:val="left" w:pos="688"/>
                <w:tab w:val="clear" w:pos="720"/>
              </w:tabs>
              <w:ind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ՀՀ կառավարության 19</w:t>
            </w:r>
            <w:r>
              <w:rPr>
                <w:rFonts w:ascii="Cambria Math" w:hAnsi="Cambria Math" w:eastAsia="MS Mincho" w:cs="Cambria Math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03</w:t>
            </w:r>
            <w:r>
              <w:rPr>
                <w:rFonts w:ascii="Cambria Math" w:hAnsi="Cambria Math" w:eastAsia="MS Mincho" w:cs="Cambria Math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2015թ N596-Ն որոշմամբ հաստատված «Հայաստանի Հանրապետությունում կառուցապատման նպատակով թույլտվությունների և այլ փաստաթղթերի տրամադրման կարգ»</w:t>
            </w:r>
            <w:r>
              <w:rPr>
                <w:rFonts w:ascii="Cambria Math" w:hAnsi="Cambria Math" w:eastAsia="MS Mincho" w:cs="Cambria Math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69DF7099">
            <w:pPr>
              <w:numPr>
                <w:ilvl w:val="0"/>
                <w:numId w:val="4"/>
              </w:numPr>
              <w:tabs>
                <w:tab w:val="left" w:pos="688"/>
                <w:tab w:val="clear" w:pos="720"/>
              </w:tabs>
              <w:ind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hint="default" w:ascii="GHEA Grapalat" w:hAnsi="GHEA Grapalat" w:eastAsia="Calibri"/>
                <w:color w:val="000000"/>
                <w:sz w:val="18"/>
                <w:szCs w:val="18"/>
                <w:lang w:val="hy-AM"/>
              </w:rPr>
              <w:t>ՀՀՇՆ 30-01-2023 «Քաղաքաշինություն. Քաղաքային և գյուղական բնակավայրերի հատակագծում և կառուցապատում»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շինարարական նորմեր</w:t>
            </w:r>
            <w:r>
              <w:rPr>
                <w:rFonts w:ascii="Cambria Math" w:hAnsi="Cambria Math" w:eastAsia="MS Mincho" w:cs="Cambria Math"/>
                <w:color w:val="000000"/>
                <w:sz w:val="18"/>
                <w:szCs w:val="18"/>
                <w:lang w:val="hy-AM"/>
              </w:rPr>
              <w:t>․</w:t>
            </w:r>
          </w:p>
          <w:p w14:paraId="3BEF82F6">
            <w:pPr>
              <w:numPr>
                <w:ilvl w:val="0"/>
                <w:numId w:val="4"/>
              </w:numPr>
              <w:tabs>
                <w:tab w:val="left" w:pos="688"/>
                <w:tab w:val="clear" w:pos="720"/>
              </w:tabs>
              <w:ind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  ՀՀ քաղաքաշինության նախարարի 03.02.2006թ ՀՀՇՆ II-6.02-2006 &lt;Սեյսմակայուն շինարարության նախագծման նորմեր&gt; թիվ 24-Ն հրաման</w:t>
            </w:r>
            <w:r>
              <w:rPr>
                <w:rFonts w:ascii="Cambria Math" w:hAnsi="Cambria Math" w:eastAsia="MS Mincho" w:cs="Cambria Math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 xml:space="preserve">  </w:t>
            </w:r>
          </w:p>
          <w:p w14:paraId="6E7FE7FD">
            <w:pPr>
              <w:numPr>
                <w:ilvl w:val="0"/>
                <w:numId w:val="4"/>
              </w:numPr>
              <w:tabs>
                <w:tab w:val="left" w:pos="688"/>
                <w:tab w:val="clear" w:pos="720"/>
              </w:tabs>
              <w:ind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ՀՀ ԿԱ քաղաքաշինության պետական կոմիտեի նախագահի 2017 թվականի սեպտեմբերի 11-ի &lt;Բնակելի, հասարակական, արտադրական շենքերի և շինությունների նախագծային փաստաթղթերի կազմը և բովանդակությունը սահմանող կանոնները հաստատելու և ՀՀ քաղաքաշինության նախարարի 2006 թվականի նոյեմբերի 29-ի N273 -Ն հրամանն ուժը կորցրած ճանաչելու մասին&gt; N128-Ն հրաման</w:t>
            </w:r>
            <w:r>
              <w:rPr>
                <w:rFonts w:ascii="Cambria Math" w:hAnsi="Cambria Math" w:eastAsia="MS Mincho" w:cs="Cambria Math"/>
                <w:color w:val="000000"/>
                <w:sz w:val="18"/>
                <w:szCs w:val="18"/>
                <w:lang w:val="hy-AM"/>
              </w:rPr>
              <w:t>․</w:t>
            </w:r>
          </w:p>
          <w:p w14:paraId="3BF3BFD5">
            <w:pPr>
              <w:numPr>
                <w:ilvl w:val="0"/>
                <w:numId w:val="4"/>
              </w:numPr>
              <w:tabs>
                <w:tab w:val="left" w:pos="688"/>
                <w:tab w:val="clear" w:pos="720"/>
              </w:tabs>
              <w:ind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Նախահաշիվը կազմել ՀՀ կառավարության 23.06.2011թ-ի թիվ 879-Ն որոշմամբ սահմանված կարգի համապատասխան:</w:t>
            </w:r>
          </w:p>
          <w:p w14:paraId="11133003">
            <w:pPr>
              <w:numPr>
                <w:ilvl w:val="0"/>
                <w:numId w:val="4"/>
              </w:numPr>
              <w:tabs>
                <w:tab w:val="left" w:pos="688"/>
                <w:tab w:val="clear" w:pos="720"/>
              </w:tabs>
              <w:ind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Կիրառելով ՀՀ քաղաքաշինության նախարարի 2008 թվականի փետրվարի 15-ի N19-Ն և 2009 թվականի ապրիլի 3-ի N35-Ն հրամաններով հաստատված պահանջները:</w:t>
            </w:r>
          </w:p>
          <w:p w14:paraId="2825B091">
            <w:pPr>
              <w:numPr>
                <w:ilvl w:val="0"/>
                <w:numId w:val="4"/>
              </w:numPr>
              <w:tabs>
                <w:tab w:val="left" w:pos="688"/>
                <w:tab w:val="clear" w:pos="720"/>
              </w:tabs>
              <w:ind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  <w:t>Նախագծանախահաշվային փաստաթղթերը կազմել համաձայն ՀՀ-ում գործող նորմատիվային փաստաթղթերի:</w:t>
            </w:r>
          </w:p>
          <w:p w14:paraId="5472B16C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  <w:p w14:paraId="0E0FC49A">
            <w:pPr>
              <w:tabs>
                <w:tab w:val="left" w:pos="688"/>
              </w:tabs>
              <w:ind w:left="720" w:hanging="457"/>
              <w:contextualSpacing/>
              <w:jc w:val="both"/>
              <w:rPr>
                <w:rFonts w:ascii="GHEA Grapalat" w:hAnsi="GHEA Grapalat" w:eastAsia="Calibri"/>
                <w:color w:val="000000"/>
                <w:sz w:val="18"/>
                <w:szCs w:val="18"/>
                <w:lang w:val="hy-AM"/>
              </w:rPr>
            </w:pPr>
          </w:p>
        </w:tc>
      </w:tr>
      <w:tr w14:paraId="0FFD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B2257">
            <w:pPr>
              <w:jc w:val="center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tbl>
            <w:tblPr>
              <w:tblStyle w:val="3"/>
              <w:tblpPr w:leftFromText="180" w:rightFromText="180" w:vertAnchor="text" w:horzAnchor="margin" w:tblpXSpec="center" w:tblpY="50"/>
              <w:tblOverlap w:val="never"/>
              <w:tblW w:w="802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87"/>
              <w:gridCol w:w="4934"/>
            </w:tblGrid>
            <w:tr w14:paraId="246BF9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87" w:type="dxa"/>
                  <w:shd w:val="clear" w:color="auto" w:fill="D5DCE4"/>
                  <w:vAlign w:val="center"/>
                </w:tcPr>
                <w:p w14:paraId="4C3863E7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4934" w:type="dxa"/>
                  <w:shd w:val="clear" w:color="auto" w:fill="D5DCE4"/>
                  <w:vAlign w:val="center"/>
                </w:tcPr>
                <w:p w14:paraId="0854F91E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3944BC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87" w:type="dxa"/>
                  <w:vAlign w:val="center"/>
                </w:tcPr>
                <w:p w14:paraId="438108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4934" w:type="dxa"/>
                  <w:vAlign w:val="center"/>
                </w:tcPr>
                <w:p w14:paraId="0AF51BA3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 դաս</w:t>
                  </w:r>
                </w:p>
              </w:tc>
            </w:tr>
            <w:tr w14:paraId="020EFB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87" w:type="dxa"/>
                  <w:vAlign w:val="center"/>
                </w:tcPr>
                <w:p w14:paraId="515D9F9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4934" w:type="dxa"/>
                  <w:vAlign w:val="center"/>
                </w:tcPr>
                <w:p w14:paraId="2E440991">
                  <w:pPr>
                    <w:rPr>
                      <w:rFonts w:hint="default" w:ascii="GHEA Grapalat" w:hAnsi="GHEA Grapalat" w:cs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119859C7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GHEA Grapalat" w:hAnsi="GHEA Grapalat" w:cs="GHEA Grapalat"/>
                    </w:rPr>
                  </w:pPr>
                  <w:r>
                    <w:rPr>
                      <w:rFonts w:hint="default" w:ascii="GHEA Grapalat" w:hAnsi="GHEA Grapalat" w:eastAsia="CIDFont" w:cs="GHEA Grapalat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 xml:space="preserve">ջերմագազամատակարարում </w:t>
                  </w:r>
                </w:p>
                <w:p w14:paraId="2B4F7D01">
                  <w:pPr>
                    <w:keepNext w:val="0"/>
                    <w:keepLines w:val="0"/>
                    <w:widowControl/>
                    <w:suppressLineNumbers w:val="0"/>
                    <w:tabs>
                      <w:tab w:val="left" w:pos="5520"/>
                    </w:tabs>
                    <w:ind w:right="1298" w:rightChars="541"/>
                    <w:jc w:val="left"/>
                    <w:rPr>
                      <w:rFonts w:hint="default" w:ascii="GHEA Grapalat" w:hAnsi="GHEA Grapalat" w:cs="GHEA Grapalat"/>
                    </w:rPr>
                  </w:pPr>
                  <w:r>
                    <w:rPr>
                      <w:rFonts w:hint="default" w:ascii="GHEA Grapalat" w:hAnsi="GHEA Grapalat" w:eastAsia="CIDFont" w:cs="GHEA Grapalat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  <w:t>և օդափոխություն (օդափոխության, ջեռուցման և օդի լավորակման համակարգեր, ջերմամատակարարման և գազամատակարարման համակարգեր)</w:t>
                  </w:r>
                </w:p>
                <w:p w14:paraId="7DBED882">
                  <w:pPr>
                    <w:rPr>
                      <w:rFonts w:hint="default" w:ascii="GHEA Grapalat" w:hAnsi="GHEA Grapalat" w:cs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41CE4042">
                  <w:pPr>
                    <w:rPr>
                      <w:rFonts w:hint="default" w:ascii="GHEA Grapalat" w:hAnsi="GHEA Grapalat" w:cs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4F311128">
                  <w:pPr>
                    <w:rPr>
                      <w:rFonts w:hint="default"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1EA6730D">
            <w:pPr>
              <w:pStyle w:val="4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 w:eastAsiaTheme="minorHAnsi"/>
                <w:b/>
                <w:i/>
                <w:kern w:val="0"/>
                <w:sz w:val="16"/>
                <w:szCs w:val="13"/>
                <w:u w:val="single"/>
                <w:lang w:val="hy-AM" w:eastAsia="en-US" w:bidi="ar-SA"/>
                <w14:ligatures w14:val="none"/>
              </w:rPr>
            </w:pPr>
          </w:p>
        </w:tc>
      </w:tr>
      <w:tr w14:paraId="2D8B5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</w:tcPr>
          <w:p w14:paraId="035A2200">
            <w:pPr>
              <w:jc w:val="center"/>
              <w:rPr>
                <w:rFonts w:ascii="GHEA Grapalat" w:hAnsi="GHEA Grapalat" w:eastAsia="Calibr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/>
            <w:vAlign w:val="top"/>
          </w:tcPr>
          <w:p w14:paraId="610B44C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Նախագծանախահաշվային փաստաթղթերի կազմման ծառայությունների մատուցման ավարտը` </w:t>
            </w:r>
            <w:r>
              <w:rPr>
                <w:rFonts w:hint="default" w:ascii="GHEA Grapalat" w:hAnsi="GHEA Grapalat" w:cs="Sylfaen"/>
                <w:b/>
                <w:bCs/>
                <w:sz w:val="20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0 օրացույցային օրից, հաշված պայմանագրով նախատեսված ծառայությունների մեկնարկի օրվանից:</w:t>
            </w:r>
          </w:p>
          <w:p w14:paraId="25F40881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745BD63B">
            <w:pPr>
              <w:shd w:val="clear" w:color="auto" w:fill="FFFFFF"/>
              <w:ind w:left="96" w:leftChars="0" w:hanging="96" w:firstLineChars="0"/>
              <w:rPr>
                <w:rFonts w:ascii="GHEA Grapalat" w:hAnsi="GHEA Grapalat" w:cs="Sylfaen" w:eastAsiaTheme="minorHAnsi"/>
                <w:b/>
                <w:i/>
                <w:kern w:val="0"/>
                <w:sz w:val="20"/>
                <w:szCs w:val="16"/>
                <w:u w:val="single"/>
                <w:lang w:val="hy-AM" w:eastAsia="en-US" w:bidi="ar-SA"/>
                <w14:ligatures w14:val="none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A7E2ACA">
      <w:pPr>
        <w:jc w:val="center"/>
        <w:rPr>
          <w:rFonts w:ascii="GHEA Grapalat" w:hAnsi="GHEA Grapalat" w:cs="Sylfaen"/>
          <w:sz w:val="18"/>
          <w:szCs w:val="18"/>
          <w:lang w:val="pt-BR"/>
        </w:rPr>
      </w:pPr>
      <w:r>
        <w:rPr>
          <w:rFonts w:ascii="GHEA Grapalat" w:hAnsi="GHEA Grapalat" w:cs="Sylfaen"/>
          <w:sz w:val="18"/>
          <w:szCs w:val="18"/>
          <w:lang w:val="pt-BR"/>
        </w:rPr>
        <w:t xml:space="preserve"> </w:t>
      </w: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/>
          <w:lang w:val="hy-AM"/>
        </w:rPr>
        <w:br w:type="textWrapping"/>
      </w:r>
      <w:r>
        <w:rPr>
          <w:rFonts w:ascii="GHEA Grapalat" w:hAnsi="GHEA Grapalat"/>
          <w:lang w:val="hy-AM"/>
        </w:rPr>
        <w:br w:type="textWrapping"/>
      </w: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6790D72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1CF5EE00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37701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Արմեն Մելիքսեթյան</w:t>
      </w:r>
    </w:p>
    <w:p w14:paraId="536C0AFD">
      <w:pPr>
        <w:ind w:left="4200"/>
        <w:rPr>
          <w:rFonts w:ascii="GHEA Grapalat" w:hAnsi="GHEA Grapalat" w:cs="GHEA Grapalat"/>
          <w:sz w:val="22"/>
          <w:szCs w:val="22"/>
          <w:lang w:val="hy-AM"/>
        </w:rPr>
      </w:pPr>
    </w:p>
    <w:p w14:paraId="15E41D4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07349C0A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957237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699C157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77BC5465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1D5DC239">
      <w:pPr>
        <w:jc w:val="both"/>
        <w:rPr>
          <w:rFonts w:ascii="GHEA Grapalat" w:hAnsi="GHEA Grapalat"/>
        </w:rPr>
      </w:pPr>
    </w:p>
    <w:sectPr>
      <w:pgSz w:w="11906" w:h="16838"/>
      <w:pgMar w:top="567" w:right="567" w:bottom="851" w:left="1418" w:header="709" w:footer="709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Armenian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D3614A"/>
    <w:multiLevelType w:val="singleLevel"/>
    <w:tmpl w:val="A9D361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8FE5C5D"/>
    <w:multiLevelType w:val="multilevel"/>
    <w:tmpl w:val="28FE5C5D"/>
    <w:lvl w:ilvl="0" w:tentative="0">
      <w:start w:val="1"/>
      <w:numFmt w:val="bullet"/>
      <w:lvlText w:val=""/>
      <w:lvlJc w:val="left"/>
      <w:pPr>
        <w:ind w:left="119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1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3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5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7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9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1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3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53" w:hanging="360"/>
      </w:pPr>
      <w:rPr>
        <w:rFonts w:hint="default" w:ascii="Wingdings" w:hAnsi="Wingdings"/>
      </w:rPr>
    </w:lvl>
  </w:abstractNum>
  <w:abstractNum w:abstractNumId="2">
    <w:nsid w:val="437B78CB"/>
    <w:multiLevelType w:val="multilevel"/>
    <w:tmpl w:val="437B78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0D475F7"/>
    <w:multiLevelType w:val="multilevel"/>
    <w:tmpl w:val="60D475F7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F68"/>
    <w:rsid w:val="002A0C6B"/>
    <w:rsid w:val="002E4F68"/>
    <w:rsid w:val="006C0B77"/>
    <w:rsid w:val="006E51D3"/>
    <w:rsid w:val="00751DC9"/>
    <w:rsid w:val="007D7ECF"/>
    <w:rsid w:val="008242FF"/>
    <w:rsid w:val="00870751"/>
    <w:rsid w:val="008E32B7"/>
    <w:rsid w:val="00922C48"/>
    <w:rsid w:val="00AB740C"/>
    <w:rsid w:val="00B915B7"/>
    <w:rsid w:val="00EA59DF"/>
    <w:rsid w:val="00EE4070"/>
    <w:rsid w:val="00F12C76"/>
    <w:rsid w:val="00F7786D"/>
    <w:rsid w:val="555F6FBD"/>
    <w:rsid w:val="5ED1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GHEA Grapalat" w:hAnsi="GHEA Grapalat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</w:style>
  <w:style w:type="table" w:styleId="5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link w:val="7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">
    <w:name w:val="Абзац списка Знак"/>
    <w:link w:val="6"/>
    <w:qFormat/>
    <w:locked/>
    <w:uiPriority w:val="34"/>
    <w:rPr>
      <w:rFonts w:ascii="Times Armenian" w:hAnsi="Times Armenian" w:eastAsia="Times New Roman" w:cs="Times New Roman"/>
      <w:kern w:val="0"/>
      <w:sz w:val="24"/>
      <w:szCs w:val="24"/>
      <w:lang w:val="zh-CN"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1146</Words>
  <Characters>6536</Characters>
  <Lines>54</Lines>
  <Paragraphs>15</Paragraphs>
  <TotalTime>16</TotalTime>
  <ScaleCrop>false</ScaleCrop>
  <LinksUpToDate>false</LinksUpToDate>
  <CharactersWithSpaces>7667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2024-10-29T10:43:00Z</dcterms:created>
  <dc:creator>Шогик Карян</dc:creator>
  <cp:lastModifiedBy>Лиана</cp:lastModifiedBy>
  <cp:lastPrinted>2026-03-23T06:38:53Z</cp:lastPrinted>
  <dcterms:modified xsi:type="dcterms:W3CDTF">2026-03-23T06:41:43Z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63E2753D6740477392EA1A8B6B250DC8_12</vt:lpwstr>
  </property>
</Properties>
</file>